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F1" w:rsidRPr="000E3CF1" w:rsidRDefault="000E3CF1" w:rsidP="000E3CF1">
      <w:pPr>
        <w:suppressAutoHyphens/>
        <w:spacing w:after="0" w:line="240" w:lineRule="auto"/>
        <w:ind w:firstLine="567"/>
        <w:jc w:val="center"/>
        <w:rPr>
          <w:rFonts w:ascii="Times New Roman" w:eastAsia="Times New Roman" w:hAnsi="Times New Roman" w:cs="Times New Roman"/>
          <w:sz w:val="20"/>
          <w:szCs w:val="20"/>
          <w:lang w:eastAsia="ru-RU"/>
        </w:rPr>
      </w:pPr>
      <w:r w:rsidRPr="000E3CF1">
        <w:rPr>
          <w:rFonts w:ascii="Times New Roman" w:eastAsia="Times New Roman" w:hAnsi="Times New Roman" w:cs="Times New Roman"/>
          <w:b/>
          <w:sz w:val="24"/>
          <w:szCs w:val="24"/>
          <w:lang w:eastAsia="ru-RU"/>
        </w:rPr>
        <w:t>Информация об услугах и работах, учтенных в размере платы за содержание и ремонт жилого помещения</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При расчете размера платы использован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года № 290 (далее – постановление № 290).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Постановлением № 290 определено, что минимальный перечень услуг и работ в обязательном порядке применяется в случае заключения договора управления или договора оказа</w:t>
      </w:r>
      <w:bookmarkStart w:id="0" w:name="_GoBack"/>
      <w:bookmarkEnd w:id="0"/>
      <w:r w:rsidRPr="000E3CF1">
        <w:rPr>
          <w:rFonts w:ascii="Times New Roman" w:eastAsia="Times New Roman" w:hAnsi="Times New Roman" w:cs="Times New Roman"/>
          <w:sz w:val="18"/>
          <w:szCs w:val="18"/>
          <w:lang w:eastAsia="ru-RU"/>
        </w:rPr>
        <w:t xml:space="preserve">ния услуг и (или) выполнения работ по содержанию и ремонту общего имущества в многоквартирном доме.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Расчет размера платы за содержание жилого помещения, произведен с учетом следующих особенностей:</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Расходы на управление многоквартирным домом включают в себя следующие мероприятия</w:t>
      </w:r>
      <w:r w:rsidR="006916D9">
        <w:rPr>
          <w:rFonts w:ascii="Times New Roman" w:eastAsia="Times New Roman" w:hAnsi="Times New Roman" w:cs="Times New Roman"/>
          <w:sz w:val="18"/>
          <w:szCs w:val="18"/>
          <w:lang w:eastAsia="ru-RU"/>
        </w:rPr>
        <w:t>:</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Расходы на организацию работ по содержанию и ремонту общего имущества (строка 1.1) определены расчетным методом</w:t>
      </w:r>
      <w:r w:rsidR="002E26BD">
        <w:rPr>
          <w:rFonts w:ascii="Times New Roman" w:eastAsia="Times New Roman" w:hAnsi="Times New Roman" w:cs="Times New Roman"/>
          <w:sz w:val="18"/>
          <w:szCs w:val="18"/>
          <w:lang w:eastAsia="ru-RU"/>
        </w:rPr>
        <w:t>.</w:t>
      </w:r>
      <w:r w:rsidRPr="000E3CF1">
        <w:rPr>
          <w:rFonts w:ascii="Times New Roman" w:eastAsia="Times New Roman" w:hAnsi="Times New Roman" w:cs="Times New Roman"/>
          <w:sz w:val="18"/>
          <w:szCs w:val="18"/>
          <w:lang w:eastAsia="ru-RU"/>
        </w:rPr>
        <w:t xml:space="preserve"> Мероприятия, которые должна осуществлять управляющая организация в целях управления многоквартирным домом, утверждены постановлением Правительства Российской Федерации от 15 мая 2013 года № 416.</w:t>
      </w:r>
    </w:p>
    <w:p w:rsidR="009634D6"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Расходы на организацию работ по предоставлению коммунальных услуг в жилом помещении (строка 1.2) несут только те управляющие организации, которые самостоятельно осуществляют деятельность по расчету, начислению и сбору  платы за коммунальные услуги по единой квитанции.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Расходы на организацию работ по расчету платы за холодную воду, горячую воду, электрическую энергию, потребляемые при содержании общего имущества в многоквартирном доме (строка 1.3) в целях осуществления расчета, начисления и сбора платы за коммунальные ресурсы, потребляемые на общедомовые нужды (далее – КРСОИ).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Расходы на организацию работ по предоставлению информации в электронном виде (строка 1.4) включены в плату за содержание жилого помещения на основании требований федерального законодательства о размещении управляющей организацией большого объема информации в телекоммуникационной сети «Интернет» (Жилищный кодекс (статьи 2, 47.1, 155, 161, 161.1, 162, 164, 165), Федеральный закон от 21 июля 2014 года № 209-ФЗ «О государственной информационной системе жилищно-коммунального хозяйства</w:t>
      </w:r>
      <w:proofErr w:type="gramEnd"/>
      <w:r w:rsidRPr="000E3CF1">
        <w:rPr>
          <w:rFonts w:ascii="Times New Roman" w:eastAsia="Times New Roman" w:hAnsi="Times New Roman" w:cs="Times New Roman"/>
          <w:sz w:val="18"/>
          <w:szCs w:val="18"/>
          <w:lang w:eastAsia="ru-RU"/>
        </w:rPr>
        <w:t xml:space="preserve">», </w:t>
      </w:r>
      <w:proofErr w:type="gramStart"/>
      <w:r w:rsidRPr="000E3CF1">
        <w:rPr>
          <w:rFonts w:ascii="Times New Roman" w:eastAsia="Times New Roman" w:hAnsi="Times New Roman" w:cs="Times New Roman"/>
          <w:sz w:val="18"/>
          <w:szCs w:val="18"/>
          <w:lang w:eastAsia="ru-RU"/>
        </w:rPr>
        <w:t>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постановление Правительства Российской Федерации от 28 декабря  2012 года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w:t>
      </w:r>
      <w:proofErr w:type="gramEnd"/>
      <w:r w:rsidRPr="000E3CF1">
        <w:rPr>
          <w:rFonts w:ascii="Times New Roman" w:eastAsia="Times New Roman" w:hAnsi="Times New Roman" w:cs="Times New Roman"/>
          <w:sz w:val="18"/>
          <w:szCs w:val="18"/>
          <w:lang w:eastAsia="ru-RU"/>
        </w:rPr>
        <w:t xml:space="preserve"> услуги (работы) по содержанию и ремонту общего имущества собственников помещений в многоквартирных домах»).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Расходы на содержание общего имущества рассчитаны в соответствии с действующими нормативными актами по эксплуатации жилищного фонда, нормированию трудовых и материальных ресурсов. </w:t>
      </w:r>
      <w:proofErr w:type="gramStart"/>
      <w:r w:rsidRPr="000E3CF1">
        <w:rPr>
          <w:rFonts w:ascii="Times New Roman" w:eastAsia="Times New Roman" w:hAnsi="Times New Roman" w:cs="Times New Roman"/>
          <w:sz w:val="18"/>
          <w:szCs w:val="18"/>
          <w:lang w:eastAsia="ru-RU"/>
        </w:rPr>
        <w:t>Стоимость услуг по содержанию общего имущества включает в себя расходы на заработную плату работников, непосредственно оказывающих услугу, отчисления во внебюджетные фонды с начисленной заработной платы (Пенсионный фонд Российской Федерации, Фонд социального страхования Российской Федерации,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расходы на приобретение материалов и инвентаря, работу</w:t>
      </w:r>
      <w:proofErr w:type="gramEnd"/>
      <w:r w:rsidRPr="000E3CF1">
        <w:rPr>
          <w:rFonts w:ascii="Times New Roman" w:eastAsia="Times New Roman" w:hAnsi="Times New Roman" w:cs="Times New Roman"/>
          <w:sz w:val="18"/>
          <w:szCs w:val="18"/>
          <w:lang w:eastAsia="ru-RU"/>
        </w:rPr>
        <w:t xml:space="preserve"> ма</w:t>
      </w:r>
      <w:r w:rsidR="009634D6">
        <w:rPr>
          <w:rFonts w:ascii="Times New Roman" w:eastAsia="Times New Roman" w:hAnsi="Times New Roman" w:cs="Times New Roman"/>
          <w:sz w:val="18"/>
          <w:szCs w:val="18"/>
          <w:lang w:eastAsia="ru-RU"/>
        </w:rPr>
        <w:t>шин, оборудования и механизмов и прочих затрат, включаемых в себестоимость работ и услуг по содержанию и ремонту общего имущества.</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По строке 2.1.1 отражены расходы на услуги по проверке управляющей организацией технического состояния фундаментов, подвалов, стен, перекрытий, балок, ригелей, лестниц, крыш, выявление нарушений эксплуатационных качеств несущих и ненесущих конструкций, нарушений отделки фасадов, внутренней отделки многоквартирных домов, проверка целостности оконных и дверных заполнений, плотности притворов, работоспособности фурнитуры в помещениях, относящихся к общему имуществу.</w:t>
      </w:r>
      <w:proofErr w:type="gramEnd"/>
      <w:r w:rsidRPr="000E3CF1">
        <w:rPr>
          <w:rFonts w:ascii="Times New Roman" w:eastAsia="Times New Roman" w:hAnsi="Times New Roman" w:cs="Times New Roman"/>
          <w:sz w:val="18"/>
          <w:szCs w:val="18"/>
          <w:lang w:eastAsia="ru-RU"/>
        </w:rPr>
        <w:t xml:space="preserve"> По результатам проведенного осмотра конструктивных элементов здания составляется акт осмотра. При наличии повреждений и нарушений при необходимости разрабатывается план восстановительных работ. Ремонт конструктивных элементов проводится за счет средств, заложенных на текущий ремонт.</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2.1.2 отражены расходы на работы по очистке кровли от снега и скалывание сосулек. Если  фактические расходы  управляющей организации превышают сумму, предусмотренную структурой платы, финансирование данных работ может производиться по согласованию с собственниками помещений из иных статей (например, текущий ремонт).</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2.2.1 отражены расходы на содержание мусоропроводов и мусороприемных камер, удаление мусора из мусороприемных камер, в случае их использования.</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2.2.2 отражены расходы на техническое обслуживание инженерных систем, в том числе: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обследование систем вентиляции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для домов с системами пожаротушения и </w:t>
      </w:r>
      <w:proofErr w:type="spellStart"/>
      <w:r w:rsidRPr="000E3CF1">
        <w:rPr>
          <w:rFonts w:ascii="Times New Roman" w:eastAsia="Times New Roman" w:hAnsi="Times New Roman" w:cs="Times New Roman"/>
          <w:sz w:val="18"/>
          <w:szCs w:val="18"/>
          <w:lang w:eastAsia="ru-RU"/>
        </w:rPr>
        <w:t>дымоудаления</w:t>
      </w:r>
      <w:proofErr w:type="spellEnd"/>
      <w:r w:rsidRPr="000E3CF1">
        <w:rPr>
          <w:rFonts w:ascii="Times New Roman" w:eastAsia="Times New Roman" w:hAnsi="Times New Roman" w:cs="Times New Roman"/>
          <w:sz w:val="18"/>
          <w:szCs w:val="18"/>
          <w:lang w:eastAsia="ru-RU"/>
        </w:rPr>
        <w:t xml:space="preserve"> включены расходы на обслуживание таких систем;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проведение общих и частичных осмотров систем отопления, холодного и горячего водоснабжения, водоотведения;</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подготовку системы отопления к сезонной эксплуатации (испытания на прочность и плотность узлов ввода и систем отопления, промывка и регулировка систем отопления, проведение пробных пусконаладочных работ, удаление воздуха из системы отопления, промывка централизованных систем теплоснабжения для удаления </w:t>
      </w:r>
      <w:proofErr w:type="spellStart"/>
      <w:r w:rsidRPr="000E3CF1">
        <w:rPr>
          <w:rFonts w:ascii="Times New Roman" w:eastAsia="Times New Roman" w:hAnsi="Times New Roman" w:cs="Times New Roman"/>
          <w:sz w:val="18"/>
          <w:szCs w:val="18"/>
          <w:lang w:eastAsia="ru-RU"/>
        </w:rPr>
        <w:t>накипно</w:t>
      </w:r>
      <w:proofErr w:type="spellEnd"/>
      <w:r w:rsidRPr="000E3CF1">
        <w:rPr>
          <w:rFonts w:ascii="Times New Roman" w:eastAsia="Times New Roman" w:hAnsi="Times New Roman" w:cs="Times New Roman"/>
          <w:sz w:val="18"/>
          <w:szCs w:val="18"/>
          <w:lang w:eastAsia="ru-RU"/>
        </w:rPr>
        <w:t>-коррозионных отложений);</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 осмотр линий электрических сетей и оборудования, проверка заземления оболочки </w:t>
      </w:r>
      <w:proofErr w:type="spellStart"/>
      <w:r w:rsidRPr="000E3CF1">
        <w:rPr>
          <w:rFonts w:ascii="Times New Roman" w:eastAsia="Times New Roman" w:hAnsi="Times New Roman" w:cs="Times New Roman"/>
          <w:sz w:val="18"/>
          <w:szCs w:val="18"/>
          <w:lang w:eastAsia="ru-RU"/>
        </w:rPr>
        <w:t>электрокабеля</w:t>
      </w:r>
      <w:proofErr w:type="spellEnd"/>
      <w:r w:rsidRPr="000E3CF1">
        <w:rPr>
          <w:rFonts w:ascii="Times New Roman" w:eastAsia="Times New Roman" w:hAnsi="Times New Roman" w:cs="Times New Roman"/>
          <w:sz w:val="18"/>
          <w:szCs w:val="18"/>
          <w:lang w:eastAsia="ru-RU"/>
        </w:rPr>
        <w:t xml:space="preserve">, замеры сопротивления изоляции проводов, проверка изоляции электропроводки и ее укрепление. В соответствии с приказом Минэнерго Российской Федерации от 13 января 2003 года № 6 «Об утверждении Правил технической эксплуатации электроустановок потребителей» измерение сопротивления изоляции проводится один раз в три года, в </w:t>
      </w:r>
      <w:proofErr w:type="gramStart"/>
      <w:r w:rsidRPr="000E3CF1">
        <w:rPr>
          <w:rFonts w:ascii="Times New Roman" w:eastAsia="Times New Roman" w:hAnsi="Times New Roman" w:cs="Times New Roman"/>
          <w:sz w:val="18"/>
          <w:szCs w:val="18"/>
          <w:lang w:eastAsia="ru-RU"/>
        </w:rPr>
        <w:t>связи</w:t>
      </w:r>
      <w:proofErr w:type="gramEnd"/>
      <w:r w:rsidRPr="000E3CF1">
        <w:rPr>
          <w:rFonts w:ascii="Times New Roman" w:eastAsia="Times New Roman" w:hAnsi="Times New Roman" w:cs="Times New Roman"/>
          <w:sz w:val="18"/>
          <w:szCs w:val="18"/>
          <w:lang w:eastAsia="ru-RU"/>
        </w:rPr>
        <w:t xml:space="preserve"> с чем расходы на измерение сопротивления изоляции приняты в расчет платы в размере 1/3 от потребности. Соответственно, для оказания данной услуги денежные средства должны накапливаться в течение трех лет. При проведении измерения сопротивления  изоляции  в  соответствии  с  нормативными  сроками накопленная сумма будет использована полностью.</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Отдельной строкой 2.2.3 выделены расходы на обслуживание механического/полуавтоматического общедомового прибора учета тепловой энергии. При наличии в многоквартирном доме автоматического общедомового прибора учета тепловой энергии стоимость его обслуживания определяется договором, заключенным с организацией, обслуживающей такие приборы учета.</w:t>
      </w:r>
    </w:p>
    <w:p w:rsid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По строке 2.2.4 отражены расходы на работы, выполняемые в целях надлежащего содержания системы внутридомового газового оборудования (далее – ВДГО) в соответствии с 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w:t>
      </w:r>
      <w:r w:rsidR="00817405">
        <w:rPr>
          <w:rFonts w:ascii="Times New Roman" w:eastAsia="Times New Roman" w:hAnsi="Times New Roman" w:cs="Times New Roman"/>
          <w:sz w:val="18"/>
          <w:szCs w:val="18"/>
          <w:lang w:eastAsia="ru-RU"/>
        </w:rPr>
        <w:t>о газового оборудования», работы выполняются при оснащении многоквартирного дома системой ВДГО.</w:t>
      </w:r>
      <w:proofErr w:type="gramEnd"/>
    </w:p>
    <w:p w:rsidR="005D71EA"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5D71EA"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5D71EA"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5D71EA" w:rsidRPr="000E3CF1" w:rsidRDefault="005D71EA"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817405" w:rsidRDefault="00817405"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817405" w:rsidRDefault="00817405" w:rsidP="000E3CF1">
      <w:pPr>
        <w:suppressAutoHyphens/>
        <w:spacing w:after="0" w:line="240" w:lineRule="auto"/>
        <w:ind w:firstLine="567"/>
        <w:jc w:val="both"/>
        <w:rPr>
          <w:rFonts w:ascii="Times New Roman" w:eastAsia="Times New Roman" w:hAnsi="Times New Roman" w:cs="Times New Roman"/>
          <w:sz w:val="18"/>
          <w:szCs w:val="18"/>
          <w:lang w:eastAsia="ru-RU"/>
        </w:rPr>
      </w:pP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lastRenderedPageBreak/>
        <w:t>По строке 2.2.5 отражены расходы на работы, выполняемые в целях надлежащего содержания лифтов.</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Услуги по содержанию ВДГО и лифтов не относятся к регулируемым видам деятельности, стоимость услуг, перечень выполняемых работ определяются договорами, заключенными управляющей организацией со специализированными организациями.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Расходы на работы, выполняемые в целях надлежащего содержания лифтов, включают в себя расходы на техническое обслуживание и техническое освидетельствование лифтов. В случае необходимости проведения диагностического обследования лифтов, отработавших нормативный срок службы, расходы на данные работы возмещаются из иных источников финансирования по согласованию между собственниками помещений и управляющей организацией. Расчет расходов на комплексное обслуживание лифтов произведен исходя из наличия одного-двух лифтов в подъезде.</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2.2.6. отражены расходы на страхование лифтов в соответствии с  Федеральным законом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2.3.1 отражены расходы на влажное подметание и мытье лестничных площадок и маршей, влажную протирку подоконников, перил, дверей, мытье окон.</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2.3.2 отражены расходы на дератизацию и дезинсекцию. Данные услуги предоставляются специализированными организациями по договору, заключенному с управляющей организацией. В расчет платы за содержание жилого помещения включена стоимость данных услуг, определенная договором со специализированной организацией.</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2.3.3 отражены расходы на содержание придомовой территории в летний и зимний периоды, в том </w:t>
      </w:r>
      <w:proofErr w:type="gramStart"/>
      <w:r w:rsidRPr="000E3CF1">
        <w:rPr>
          <w:rFonts w:ascii="Times New Roman" w:eastAsia="Times New Roman" w:hAnsi="Times New Roman" w:cs="Times New Roman"/>
          <w:sz w:val="18"/>
          <w:szCs w:val="18"/>
          <w:lang w:eastAsia="ru-RU"/>
        </w:rPr>
        <w:t>числе</w:t>
      </w:r>
      <w:proofErr w:type="gramEnd"/>
      <w:r w:rsidRPr="000E3CF1">
        <w:rPr>
          <w:rFonts w:ascii="Times New Roman" w:eastAsia="Times New Roman" w:hAnsi="Times New Roman" w:cs="Times New Roman"/>
          <w:sz w:val="18"/>
          <w:szCs w:val="18"/>
          <w:lang w:eastAsia="ru-RU"/>
        </w:rPr>
        <w:t xml:space="preserve"> асфальтированной территории, территории без покрытия, газона, контейнерной площадки.</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строкам 2.3.4, 2.3.5, 2.3.6 отражены расходы по вывозу отходов. В связи с тем, что услуги по вывозу отходов в основном оказывают разные организации, в структуре платы отдельно отражена стоимость услуг по вывозу твердых бытовых отходов, вывозу крупногабаритного мусора, организации мест накопления отработанных ртутьсодержащих ламп и их передаче в специализированные организации. Расходы на вывоз строительного мусора в плате не учтены, т.к. он не относится к бытовым отходам.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По строке 2.3.7 отражены расходы на работы по обеспечению требований пожарной безопасности: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E3CF1">
        <w:rPr>
          <w:rFonts w:ascii="Times New Roman" w:eastAsia="Times New Roman" w:hAnsi="Times New Roman" w:cs="Times New Roman"/>
          <w:sz w:val="18"/>
          <w:szCs w:val="18"/>
          <w:lang w:eastAsia="ru-RU"/>
        </w:rPr>
        <w:t>дств пр</w:t>
      </w:r>
      <w:proofErr w:type="gramEnd"/>
      <w:r w:rsidRPr="000E3CF1">
        <w:rPr>
          <w:rFonts w:ascii="Times New Roman" w:eastAsia="Times New Roman" w:hAnsi="Times New Roman" w:cs="Times New Roman"/>
          <w:sz w:val="18"/>
          <w:szCs w:val="18"/>
          <w:lang w:eastAsia="ru-RU"/>
        </w:rPr>
        <w:t xml:space="preserve">отивопожарной защиты, </w:t>
      </w:r>
      <w:proofErr w:type="spellStart"/>
      <w:r w:rsidRPr="000E3CF1">
        <w:rPr>
          <w:rFonts w:ascii="Times New Roman" w:eastAsia="Times New Roman" w:hAnsi="Times New Roman" w:cs="Times New Roman"/>
          <w:sz w:val="18"/>
          <w:szCs w:val="18"/>
          <w:lang w:eastAsia="ru-RU"/>
        </w:rPr>
        <w:t>противодымной</w:t>
      </w:r>
      <w:proofErr w:type="spellEnd"/>
      <w:r w:rsidRPr="000E3CF1">
        <w:rPr>
          <w:rFonts w:ascii="Times New Roman" w:eastAsia="Times New Roman" w:hAnsi="Times New Roman" w:cs="Times New Roman"/>
          <w:sz w:val="18"/>
          <w:szCs w:val="18"/>
          <w:lang w:eastAsia="ru-RU"/>
        </w:rPr>
        <w:t xml:space="preserve"> защиты.</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По строке 2.3.8 отражены расходы </w:t>
      </w:r>
      <w:proofErr w:type="gramStart"/>
      <w:r w:rsidRPr="000E3CF1">
        <w:rPr>
          <w:rFonts w:ascii="Times New Roman" w:eastAsia="Times New Roman" w:hAnsi="Times New Roman" w:cs="Times New Roman"/>
          <w:sz w:val="18"/>
          <w:szCs w:val="18"/>
          <w:lang w:eastAsia="ru-RU"/>
        </w:rPr>
        <w:t>на обеспечение устранения аварий в соответствии с установленными предельными сроками на внутридомовых инженерных системах в многоквартирном доме</w:t>
      </w:r>
      <w:proofErr w:type="gramEnd"/>
      <w:r w:rsidRPr="000E3CF1">
        <w:rPr>
          <w:rFonts w:ascii="Times New Roman" w:eastAsia="Times New Roman" w:hAnsi="Times New Roman" w:cs="Times New Roman"/>
          <w:sz w:val="18"/>
          <w:szCs w:val="18"/>
          <w:lang w:eastAsia="ru-RU"/>
        </w:rPr>
        <w:t>, выполнение аварийных заявок населения.</w:t>
      </w:r>
    </w:p>
    <w:p w:rsidR="000E3CF1" w:rsidRPr="000E3CF1" w:rsidRDefault="008E682C"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Расходы на текущий ремонт м</w:t>
      </w:r>
      <w:r w:rsidR="000E3CF1" w:rsidRPr="000E3CF1">
        <w:rPr>
          <w:rFonts w:ascii="Times New Roman" w:eastAsia="Times New Roman" w:hAnsi="Times New Roman" w:cs="Times New Roman"/>
          <w:sz w:val="18"/>
          <w:szCs w:val="18"/>
          <w:lang w:eastAsia="ru-RU"/>
        </w:rPr>
        <w:t>етодическими рекомендациями по финансовому обоснованию тарифов на содержание и ремонт жилищного фонда, утвержденными приказом Госстроя России от 28 декабря 2000 года, определено, что расходы на текущий ремонт состоят из расходов на заработную плату работников, выполняющих текущий ремонт, отчислений во внебюджетные фонды от заработной платы, стоимости материалов, транспортных расходов и других расходов, относящихся к выполнению работ по</w:t>
      </w:r>
      <w:proofErr w:type="gramEnd"/>
      <w:r w:rsidR="000E3CF1" w:rsidRPr="000E3CF1">
        <w:rPr>
          <w:rFonts w:ascii="Times New Roman" w:eastAsia="Times New Roman" w:hAnsi="Times New Roman" w:cs="Times New Roman"/>
          <w:sz w:val="18"/>
          <w:szCs w:val="18"/>
          <w:lang w:eastAsia="ru-RU"/>
        </w:rPr>
        <w:t xml:space="preserve"> текущему ремонту, так же стоимость работ может определяться на основании смет.</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 xml:space="preserve">Плата за холодную воду, горячую воду, электрическую энергию, потребляемые при содержании общего имущества в многоквартирном доме. </w:t>
      </w:r>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 xml:space="preserve">Федеральным законом от 29 июня 2015 года № 176-ФЗ (далее – № 176-ФЗ) внесены изменения в Жилищный кодекс в части включения с 1 января 2017 года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(далее – </w:t>
      </w:r>
      <w:r w:rsidR="008E682C">
        <w:rPr>
          <w:rFonts w:ascii="Times New Roman" w:eastAsia="Times New Roman" w:hAnsi="Times New Roman" w:cs="Times New Roman"/>
          <w:sz w:val="18"/>
          <w:szCs w:val="18"/>
          <w:lang w:eastAsia="ru-RU"/>
        </w:rPr>
        <w:t>КРСОИ</w:t>
      </w:r>
      <w:r w:rsidRPr="000E3CF1">
        <w:rPr>
          <w:rFonts w:ascii="Times New Roman" w:eastAsia="Times New Roman" w:hAnsi="Times New Roman" w:cs="Times New Roman"/>
          <w:sz w:val="18"/>
          <w:szCs w:val="18"/>
          <w:lang w:eastAsia="ru-RU"/>
        </w:rPr>
        <w:t xml:space="preserve">) в случае заключения договора управления многоквартирным домом. </w:t>
      </w:r>
      <w:proofErr w:type="gramEnd"/>
    </w:p>
    <w:p w:rsid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sidRPr="000E3CF1">
        <w:rPr>
          <w:rFonts w:ascii="Times New Roman" w:eastAsia="Times New Roman" w:hAnsi="Times New Roman" w:cs="Times New Roman"/>
          <w:sz w:val="18"/>
          <w:szCs w:val="18"/>
          <w:lang w:eastAsia="ru-RU"/>
        </w:rPr>
        <w:t>В соответствии с частью 10 статьи 12 №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w:t>
      </w:r>
      <w:proofErr w:type="gramEnd"/>
      <w:r w:rsidRPr="000E3CF1">
        <w:rPr>
          <w:rFonts w:ascii="Times New Roman" w:eastAsia="Times New Roman" w:hAnsi="Times New Roman" w:cs="Times New Roman"/>
          <w:sz w:val="18"/>
          <w:szCs w:val="18"/>
          <w:lang w:eastAsia="ru-RU"/>
        </w:rPr>
        <w:t xml:space="preserve"> субъектом Российской Федерации по состоянию на 1 ноября 2016 года. Для первоначального включения данных расходов в плату за содержание жилого помещения не требуется решение общего собрания собственников помещений в многоквартирном доме.</w:t>
      </w:r>
    </w:p>
    <w:p w:rsidR="008E682C" w:rsidRDefault="008E682C" w:rsidP="000E3CF1">
      <w:pPr>
        <w:suppressAutoHyphens/>
        <w:spacing w:after="0" w:line="240" w:lineRule="auto"/>
        <w:ind w:firstLine="567"/>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Согласно части 9.2</w:t>
      </w:r>
      <w:r w:rsidR="00BE5FB1">
        <w:rPr>
          <w:rFonts w:ascii="Times New Roman" w:eastAsia="Times New Roman" w:hAnsi="Times New Roman" w:cs="Times New Roman"/>
          <w:sz w:val="18"/>
          <w:szCs w:val="18"/>
          <w:lang w:eastAsia="ru-RU"/>
        </w:rPr>
        <w:t xml:space="preserve"> статьи 156</w:t>
      </w:r>
      <w:r>
        <w:rPr>
          <w:rFonts w:ascii="Times New Roman" w:eastAsia="Times New Roman" w:hAnsi="Times New Roman" w:cs="Times New Roman"/>
          <w:sz w:val="18"/>
          <w:szCs w:val="18"/>
          <w:lang w:eastAsia="ru-RU"/>
        </w:rPr>
        <w:t xml:space="preserve"> ЖК РФ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доме, который утверждается органами государственной власти субъектов Российской Федерации, в порядке, у</w:t>
      </w:r>
      <w:r w:rsidR="00BE5FB1">
        <w:rPr>
          <w:rFonts w:ascii="Times New Roman" w:eastAsia="Times New Roman" w:hAnsi="Times New Roman" w:cs="Times New Roman"/>
          <w:sz w:val="18"/>
          <w:szCs w:val="18"/>
          <w:lang w:eastAsia="ru-RU"/>
        </w:rPr>
        <w:t>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roofErr w:type="gramEnd"/>
    </w:p>
    <w:p w:rsidR="000E3CF1" w:rsidRPr="000E3CF1" w:rsidRDefault="000E3CF1" w:rsidP="000E3CF1">
      <w:pPr>
        <w:suppressAutoHyphens/>
        <w:spacing w:after="0" w:line="240" w:lineRule="auto"/>
        <w:ind w:firstLine="567"/>
        <w:jc w:val="both"/>
        <w:rPr>
          <w:rFonts w:ascii="Times New Roman" w:eastAsia="Times New Roman" w:hAnsi="Times New Roman" w:cs="Times New Roman"/>
          <w:sz w:val="18"/>
          <w:szCs w:val="18"/>
          <w:lang w:eastAsia="ru-RU"/>
        </w:rPr>
      </w:pPr>
      <w:r w:rsidRPr="000E3CF1">
        <w:rPr>
          <w:rFonts w:ascii="Times New Roman" w:eastAsia="Times New Roman" w:hAnsi="Times New Roman" w:cs="Times New Roman"/>
          <w:sz w:val="18"/>
          <w:szCs w:val="18"/>
          <w:lang w:eastAsia="ru-RU"/>
        </w:rPr>
        <w:t>В соответствии с действующим законодательством состав общего имущества собственников помещений в многоквартирном доме указывается в договоре управления (договоре оказания услуг по содержанию и (или) выполнению работ по ремонту общего имущества). Если в доме имеются и включены в состав общего имущества печи, камины, индивидуальные тепловые пункты, коллекторы, антенны, домофоны, иные объекты, относящиеся к общему имуществу, то расходы на их содержание должны быть дополнительно включены в состав платы за содержание жилого помещения.</w:t>
      </w:r>
    </w:p>
    <w:p w:rsidR="00A2662A" w:rsidRPr="008931C7" w:rsidRDefault="00A2662A" w:rsidP="007327CF">
      <w:pPr>
        <w:suppressAutoHyphens/>
        <w:spacing w:after="0" w:line="240" w:lineRule="auto"/>
        <w:jc w:val="both"/>
        <w:rPr>
          <w:rFonts w:ascii="Times New Roman" w:eastAsia="Times New Roman" w:hAnsi="Times New Roman" w:cs="Times New Roman"/>
          <w:sz w:val="24"/>
          <w:szCs w:val="24"/>
          <w:lang w:eastAsia="ru-RU"/>
        </w:rPr>
      </w:pPr>
    </w:p>
    <w:sectPr w:rsidR="00A2662A" w:rsidRPr="008931C7" w:rsidSect="002A4F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5C6B"/>
    <w:multiLevelType w:val="hybridMultilevel"/>
    <w:tmpl w:val="1DA46EF4"/>
    <w:lvl w:ilvl="0" w:tplc="1444EF90">
      <w:start w:val="1"/>
      <w:numFmt w:val="decimal"/>
      <w:lvlText w:val="%1."/>
      <w:lvlJc w:val="left"/>
      <w:pPr>
        <w:ind w:left="2124" w:hanging="14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441F2A"/>
    <w:multiLevelType w:val="hybridMultilevel"/>
    <w:tmpl w:val="97562B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B52058C"/>
    <w:multiLevelType w:val="hybridMultilevel"/>
    <w:tmpl w:val="DBAE4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D1A40"/>
    <w:rsid w:val="000D5D0A"/>
    <w:rsid w:val="000E3CF1"/>
    <w:rsid w:val="00110E57"/>
    <w:rsid w:val="00116034"/>
    <w:rsid w:val="001370D2"/>
    <w:rsid w:val="00152D7A"/>
    <w:rsid w:val="00177B8E"/>
    <w:rsid w:val="00197E47"/>
    <w:rsid w:val="002141FA"/>
    <w:rsid w:val="00290939"/>
    <w:rsid w:val="002A4FE6"/>
    <w:rsid w:val="002B0336"/>
    <w:rsid w:val="002E26BD"/>
    <w:rsid w:val="00326F8C"/>
    <w:rsid w:val="00334F5A"/>
    <w:rsid w:val="00354110"/>
    <w:rsid w:val="004442ED"/>
    <w:rsid w:val="004A1706"/>
    <w:rsid w:val="0052330E"/>
    <w:rsid w:val="00545D5E"/>
    <w:rsid w:val="005B20EF"/>
    <w:rsid w:val="005D71EA"/>
    <w:rsid w:val="006916D9"/>
    <w:rsid w:val="006A22B3"/>
    <w:rsid w:val="00722EAB"/>
    <w:rsid w:val="007327CF"/>
    <w:rsid w:val="007B5573"/>
    <w:rsid w:val="007F7B3B"/>
    <w:rsid w:val="00817405"/>
    <w:rsid w:val="00824A39"/>
    <w:rsid w:val="0085507D"/>
    <w:rsid w:val="008931C7"/>
    <w:rsid w:val="008E682C"/>
    <w:rsid w:val="008F057F"/>
    <w:rsid w:val="00932FA7"/>
    <w:rsid w:val="00955685"/>
    <w:rsid w:val="009634D6"/>
    <w:rsid w:val="009D18AB"/>
    <w:rsid w:val="009F68CF"/>
    <w:rsid w:val="009F6CAB"/>
    <w:rsid w:val="00A2662A"/>
    <w:rsid w:val="00A80CBF"/>
    <w:rsid w:val="00B141D4"/>
    <w:rsid w:val="00BE5FB1"/>
    <w:rsid w:val="00C63D10"/>
    <w:rsid w:val="00D24726"/>
    <w:rsid w:val="00DB4CB2"/>
    <w:rsid w:val="00DF5D1F"/>
    <w:rsid w:val="00E11F81"/>
    <w:rsid w:val="00ED1A40"/>
    <w:rsid w:val="00F6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FE6"/>
    <w:pPr>
      <w:ind w:left="720"/>
      <w:contextualSpacing/>
    </w:pPr>
  </w:style>
  <w:style w:type="character" w:styleId="a4">
    <w:name w:val="Hyperlink"/>
    <w:rsid w:val="0052330E"/>
    <w:rPr>
      <w:color w:val="FF8400"/>
      <w:u w:val="single"/>
    </w:rPr>
  </w:style>
  <w:style w:type="paragraph" w:styleId="a5">
    <w:name w:val="Balloon Text"/>
    <w:basedOn w:val="a"/>
    <w:link w:val="a6"/>
    <w:uiPriority w:val="99"/>
    <w:semiHidden/>
    <w:unhideWhenUsed/>
    <w:rsid w:val="006A22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2B3"/>
    <w:rPr>
      <w:rFonts w:ascii="Tahoma" w:hAnsi="Tahoma" w:cs="Tahoma"/>
      <w:sz w:val="16"/>
      <w:szCs w:val="16"/>
    </w:rPr>
  </w:style>
  <w:style w:type="character" w:styleId="a7">
    <w:name w:val="Strong"/>
    <w:basedOn w:val="a0"/>
    <w:uiPriority w:val="22"/>
    <w:qFormat/>
    <w:rsid w:val="00D247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31</cp:revision>
  <cp:lastPrinted>2017-12-01T10:36:00Z</cp:lastPrinted>
  <dcterms:created xsi:type="dcterms:W3CDTF">2017-11-24T05:46:00Z</dcterms:created>
  <dcterms:modified xsi:type="dcterms:W3CDTF">2018-06-08T08:56:00Z</dcterms:modified>
</cp:coreProperties>
</file>